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3F" w:rsidRPr="00BF360D" w:rsidRDefault="00837C3F" w:rsidP="00837C3F">
      <w:pPr>
        <w:widowControl/>
        <w:shd w:val="clear" w:color="auto" w:fill="FFFFFF"/>
        <w:jc w:val="left"/>
        <w:rPr>
          <w:rFonts w:ascii="华文仿宋" w:eastAsia="华文仿宋" w:hAnsi="华文仿宋" w:cs="宋体"/>
          <w:b/>
          <w:bCs/>
          <w:kern w:val="0"/>
          <w:sz w:val="30"/>
          <w:szCs w:val="30"/>
        </w:rPr>
      </w:pPr>
      <w:r w:rsidRPr="00BF360D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附件</w:t>
      </w:r>
      <w:r w:rsidR="00E1050C">
        <w:rPr>
          <w:rFonts w:ascii="华文仿宋" w:eastAsia="华文仿宋" w:hAnsi="华文仿宋" w:cs="宋体" w:hint="eastAsia"/>
          <w:bCs/>
          <w:kern w:val="0"/>
          <w:sz w:val="30"/>
          <w:szCs w:val="30"/>
        </w:rPr>
        <w:t>1</w:t>
      </w:r>
    </w:p>
    <w:p w:rsidR="00837C3F" w:rsidRPr="00837C3F" w:rsidRDefault="00837C3F" w:rsidP="00837C3F">
      <w:pPr>
        <w:widowControl/>
        <w:shd w:val="clear" w:color="auto" w:fill="FFFFFF"/>
        <w:wordWrap w:val="0"/>
        <w:jc w:val="center"/>
        <w:rPr>
          <w:rFonts w:asciiTheme="majorEastAsia" w:eastAsiaTheme="majorEastAsia" w:hAnsiTheme="majorEastAsia" w:cs="宋体"/>
          <w:b/>
          <w:bCs/>
          <w:kern w:val="0"/>
          <w:sz w:val="32"/>
          <w:szCs w:val="32"/>
        </w:rPr>
      </w:pPr>
      <w:r w:rsidRPr="00837C3F">
        <w:rPr>
          <w:rFonts w:asciiTheme="majorEastAsia" w:eastAsiaTheme="majorEastAsia" w:hAnsiTheme="majorEastAsia" w:cs="宋体" w:hint="eastAsia"/>
          <w:b/>
          <w:bCs/>
          <w:kern w:val="0"/>
          <w:sz w:val="32"/>
          <w:szCs w:val="32"/>
        </w:rPr>
        <w:t>四川师范大学关于酬金、报销费用转储银行卡的温馨提示</w:t>
      </w:r>
    </w:p>
    <w:p w:rsidR="00BF360D" w:rsidRDefault="00BF360D" w:rsidP="00BF360D">
      <w:pPr>
        <w:widowControl/>
        <w:shd w:val="clear" w:color="auto" w:fill="FFFFFF"/>
        <w:wordWrap w:val="0"/>
        <w:jc w:val="left"/>
        <w:rPr>
          <w:rFonts w:ascii="华文仿宋" w:eastAsia="华文仿宋" w:hAnsi="华文仿宋" w:cs="Times New Roman"/>
          <w:b/>
          <w:color w:val="333333"/>
          <w:kern w:val="0"/>
          <w:sz w:val="32"/>
          <w:szCs w:val="32"/>
        </w:rPr>
      </w:pPr>
    </w:p>
    <w:p w:rsidR="00837C3F" w:rsidRPr="00837C3F" w:rsidRDefault="00837C3F" w:rsidP="00BF360D">
      <w:pPr>
        <w:widowControl/>
        <w:shd w:val="clear" w:color="auto" w:fill="FFFFFF"/>
        <w:wordWrap w:val="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华文仿宋" w:eastAsia="华文仿宋" w:hAnsi="华文仿宋" w:cs="Times New Roman" w:hint="eastAsia"/>
          <w:b/>
          <w:color w:val="333333"/>
          <w:kern w:val="0"/>
          <w:sz w:val="32"/>
          <w:szCs w:val="32"/>
        </w:rPr>
        <w:t>校内各单位、各师生</w:t>
      </w: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：</w:t>
      </w:r>
    </w:p>
    <w:p w:rsidR="00837C3F" w:rsidRPr="00837C3F" w:rsidRDefault="00837C3F" w:rsidP="00BF360D">
      <w:pPr>
        <w:widowControl/>
        <w:shd w:val="clear" w:color="auto" w:fill="FFFFFF"/>
        <w:wordWrap w:val="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   </w:t>
      </w:r>
      <w:r w:rsidR="00BF360D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 xml:space="preserve">  </w:t>
      </w: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 现将学校关于酬金、报销等业务需转储银行卡的有关事项通知如下：</w:t>
      </w:r>
    </w:p>
    <w:p w:rsidR="00837C3F" w:rsidRPr="00837C3F" w:rsidRDefault="00837C3F" w:rsidP="00BF360D">
      <w:pPr>
        <w:widowControl/>
        <w:shd w:val="clear" w:color="auto" w:fill="FFFFFF"/>
        <w:wordWrap w:val="0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华文仿宋" w:eastAsia="华文仿宋" w:hAnsi="华文仿宋" w:cs="Times New Roman" w:hint="eastAsia"/>
          <w:b/>
          <w:bCs/>
          <w:color w:val="333333"/>
          <w:kern w:val="0"/>
          <w:sz w:val="32"/>
          <w:szCs w:val="32"/>
        </w:rPr>
        <w:t>一、卡类型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4215"/>
      </w:tblGrid>
      <w:tr w:rsidR="00837C3F" w:rsidRPr="00837C3F" w:rsidTr="00837C3F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人员类型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proofErr w:type="gramStart"/>
            <w:r w:rsidRPr="00837C3F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卡类型</w:t>
            </w:r>
            <w:proofErr w:type="gramEnd"/>
          </w:p>
        </w:tc>
        <w:tc>
          <w:tcPr>
            <w:tcW w:w="4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b/>
                <w:bCs/>
                <w:color w:val="333333"/>
                <w:kern w:val="0"/>
                <w:szCs w:val="21"/>
              </w:rPr>
              <w:t>承办银行</w:t>
            </w:r>
          </w:p>
        </w:tc>
      </w:tr>
      <w:tr w:rsidR="00837C3F" w:rsidRPr="00837C3F" w:rsidTr="00837C3F">
        <w:tc>
          <w:tcPr>
            <w:tcW w:w="21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在职教工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工资卡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中国银行</w:t>
            </w:r>
          </w:p>
        </w:tc>
      </w:tr>
      <w:tr w:rsidR="00837C3F" w:rsidRPr="00837C3F" w:rsidTr="00837C3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7C3F" w:rsidRPr="00837C3F" w:rsidRDefault="00837C3F" w:rsidP="00837C3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非工资卡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工商银行</w:t>
            </w:r>
          </w:p>
        </w:tc>
      </w:tr>
      <w:tr w:rsidR="00837C3F" w:rsidRPr="00837C3F" w:rsidTr="00837C3F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7C3F" w:rsidRPr="00837C3F" w:rsidRDefault="00837C3F" w:rsidP="00837C3F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公务卡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工商银行</w:t>
            </w:r>
          </w:p>
        </w:tc>
      </w:tr>
      <w:tr w:rsidR="00837C3F" w:rsidRPr="00837C3F" w:rsidTr="00837C3F"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学生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奖助卡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工、农、中、建四大行选择一家</w:t>
            </w:r>
          </w:p>
        </w:tc>
      </w:tr>
      <w:tr w:rsidR="00837C3F" w:rsidRPr="00837C3F" w:rsidTr="00837C3F"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校外人员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劳务</w:t>
            </w:r>
            <w:proofErr w:type="gramStart"/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发放卡</w:t>
            </w:r>
            <w:proofErr w:type="gramEnd"/>
          </w:p>
        </w:tc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37C3F" w:rsidRPr="00837C3F" w:rsidRDefault="00837C3F" w:rsidP="00837C3F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837C3F">
              <w:rPr>
                <w:rFonts w:ascii="宋体" w:eastAsia="宋体" w:hAnsi="宋体" w:cs="Times New Roman" w:hint="eastAsia"/>
                <w:color w:val="333333"/>
                <w:kern w:val="0"/>
                <w:szCs w:val="21"/>
              </w:rPr>
              <w:t>工、农、中、建四大行选择一家</w:t>
            </w:r>
          </w:p>
        </w:tc>
      </w:tr>
    </w:tbl>
    <w:p w:rsidR="00837C3F" w:rsidRPr="00837C3F" w:rsidRDefault="00837C3F" w:rsidP="00BF360D">
      <w:pPr>
        <w:widowControl/>
        <w:shd w:val="clear" w:color="auto" w:fill="FFFFFF"/>
        <w:wordWrap w:val="0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华文仿宋" w:eastAsia="华文仿宋" w:hAnsi="华文仿宋" w:cs="Times New Roman" w:hint="eastAsia"/>
          <w:b/>
          <w:bCs/>
          <w:color w:val="333333"/>
          <w:kern w:val="0"/>
          <w:sz w:val="32"/>
          <w:szCs w:val="32"/>
        </w:rPr>
        <w:t>二、银行卡填写注意事项</w:t>
      </w:r>
    </w:p>
    <w:p w:rsidR="00837C3F" w:rsidRPr="00837C3F" w:rsidRDefault="00837C3F" w:rsidP="00BF360D">
      <w:pPr>
        <w:widowControl/>
        <w:shd w:val="clear" w:color="auto" w:fill="FFFFFF"/>
        <w:wordWrap w:val="0"/>
        <w:spacing w:line="315" w:lineRule="atLeast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1.填写转储卡号需</w:t>
      </w:r>
      <w:r w:rsidRPr="00837C3F">
        <w:rPr>
          <w:rFonts w:ascii="华文仿宋" w:eastAsia="华文仿宋" w:hAnsi="华文仿宋" w:cs="Times New Roman" w:hint="eastAsia"/>
          <w:b/>
          <w:bCs/>
          <w:color w:val="333333"/>
          <w:kern w:val="0"/>
          <w:sz w:val="32"/>
          <w:szCs w:val="32"/>
        </w:rPr>
        <w:t>姓名、卡号、身份证、联行号</w:t>
      </w: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四项信息准确无误方可转储成功；</w:t>
      </w:r>
      <w:r w:rsidRPr="00837C3F">
        <w:rPr>
          <w:rFonts w:ascii="华文仿宋" w:eastAsia="华文仿宋" w:hAnsi="华文仿宋" w:cs="Times New Roman" w:hint="eastAsia"/>
          <w:b/>
          <w:bCs/>
          <w:color w:val="333333"/>
          <w:kern w:val="0"/>
          <w:sz w:val="32"/>
          <w:szCs w:val="32"/>
        </w:rPr>
        <w:t>开户行、联行号查询可在系统内输入关键字段模糊查询，或致电个人所持银行卡背面服务热线获知。</w:t>
      </w:r>
    </w:p>
    <w:p w:rsidR="00837C3F" w:rsidRPr="00837C3F" w:rsidRDefault="00837C3F" w:rsidP="00BF360D">
      <w:pPr>
        <w:widowControl/>
        <w:shd w:val="clear" w:color="auto" w:fill="FFFFFF"/>
        <w:wordWrap w:val="0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2.大额支付超过1万元，未达到5万元，须选择工、农、中、建任</w:t>
      </w:r>
      <w:proofErr w:type="gramStart"/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一</w:t>
      </w:r>
      <w:proofErr w:type="gramEnd"/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银行</w:t>
      </w:r>
      <w:r w:rsidRPr="00837C3F">
        <w:rPr>
          <w:rFonts w:ascii="华文仿宋" w:eastAsia="华文仿宋" w:hAnsi="华文仿宋" w:cs="Times New Roman" w:hint="eastAsia"/>
          <w:b/>
          <w:bCs/>
          <w:color w:val="333333"/>
          <w:kern w:val="0"/>
          <w:sz w:val="32"/>
          <w:szCs w:val="32"/>
        </w:rPr>
        <w:t>一类卡</w:t>
      </w: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，超过5万元，须选择</w:t>
      </w:r>
      <w:r w:rsidRPr="00837C3F">
        <w:rPr>
          <w:rFonts w:ascii="华文仿宋" w:eastAsia="华文仿宋" w:hAnsi="华文仿宋" w:cs="Times New Roman" w:hint="eastAsia"/>
          <w:b/>
          <w:bCs/>
          <w:color w:val="333333"/>
          <w:kern w:val="0"/>
          <w:sz w:val="32"/>
          <w:szCs w:val="32"/>
        </w:rPr>
        <w:t>工商银行</w:t>
      </w:r>
      <w:proofErr w:type="gramStart"/>
      <w:r w:rsidRPr="00837C3F">
        <w:rPr>
          <w:rFonts w:ascii="华文仿宋" w:eastAsia="华文仿宋" w:hAnsi="华文仿宋" w:cs="Times New Roman" w:hint="eastAsia"/>
          <w:b/>
          <w:bCs/>
          <w:color w:val="333333"/>
          <w:kern w:val="0"/>
          <w:sz w:val="32"/>
          <w:szCs w:val="32"/>
        </w:rPr>
        <w:t>一类卡</w:t>
      </w: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方</w:t>
      </w:r>
      <w:proofErr w:type="gramEnd"/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可转储成功。一类卡、二类卡查询方法见附件一；</w:t>
      </w:r>
    </w:p>
    <w:p w:rsidR="00837C3F" w:rsidRPr="00837C3F" w:rsidRDefault="00837C3F" w:rsidP="00BF360D">
      <w:pPr>
        <w:widowControl/>
        <w:shd w:val="clear" w:color="auto" w:fill="FFFFFF"/>
        <w:wordWrap w:val="0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3.公务卡办理由申请人持本人身份证至校内工商银行（天朗气清一楼）办理，联系人：</w:t>
      </w:r>
      <w:proofErr w:type="gramStart"/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董洪飞</w:t>
      </w:r>
      <w:proofErr w:type="gramEnd"/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，联系电话：86945196。</w:t>
      </w:r>
    </w:p>
    <w:p w:rsidR="00837C3F" w:rsidRPr="00837C3F" w:rsidRDefault="00837C3F" w:rsidP="00BF360D">
      <w:pPr>
        <w:widowControl/>
        <w:shd w:val="clear" w:color="auto" w:fill="FFFFFF"/>
        <w:wordWrap w:val="0"/>
        <w:ind w:firstLine="645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特此提示。</w:t>
      </w:r>
    </w:p>
    <w:p w:rsidR="00837C3F" w:rsidRPr="00837C3F" w:rsidRDefault="00837C3F" w:rsidP="00E1050C">
      <w:pPr>
        <w:widowControl/>
        <w:shd w:val="clear" w:color="auto" w:fill="FFFFFF"/>
        <w:wordWrap w:val="0"/>
        <w:ind w:right="480"/>
        <w:jc w:val="right"/>
        <w:rPr>
          <w:rFonts w:ascii="Times New Roman" w:eastAsia="宋体" w:hAnsi="Times New Roman" w:cs="Times New Roman"/>
          <w:color w:val="333333"/>
          <w:kern w:val="0"/>
          <w:szCs w:val="21"/>
        </w:rPr>
      </w:pPr>
      <w:bookmarkStart w:id="0" w:name="_GoBack"/>
      <w:bookmarkEnd w:id="0"/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 计划财务处</w:t>
      </w:r>
    </w:p>
    <w:p w:rsidR="00837C3F" w:rsidRPr="00837C3F" w:rsidRDefault="00837C3F" w:rsidP="00E1050C">
      <w:pPr>
        <w:widowControl/>
        <w:shd w:val="clear" w:color="auto" w:fill="FFFFFF"/>
        <w:wordWrap w:val="0"/>
        <w:jc w:val="righ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  2020年</w:t>
      </w:r>
      <w:r w:rsidR="00E1050C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10</w:t>
      </w: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月</w:t>
      </w:r>
      <w:r w:rsidR="00E1050C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27</w:t>
      </w:r>
      <w:r w:rsidRPr="00837C3F">
        <w:rPr>
          <w:rFonts w:ascii="华文仿宋" w:eastAsia="华文仿宋" w:hAnsi="华文仿宋" w:cs="Times New Roman" w:hint="eastAsia"/>
          <w:color w:val="333333"/>
          <w:kern w:val="0"/>
          <w:sz w:val="32"/>
          <w:szCs w:val="32"/>
        </w:rPr>
        <w:t>日</w:t>
      </w:r>
      <w:r w:rsidRPr="00837C3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sectPr w:rsidR="00837C3F" w:rsidRPr="00837C3F" w:rsidSect="00E1050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44" w:rsidRDefault="00821644" w:rsidP="00E1050C">
      <w:r>
        <w:separator/>
      </w:r>
    </w:p>
  </w:endnote>
  <w:endnote w:type="continuationSeparator" w:id="0">
    <w:p w:rsidR="00821644" w:rsidRDefault="00821644" w:rsidP="00E1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44" w:rsidRDefault="00821644" w:rsidP="00E1050C">
      <w:r>
        <w:separator/>
      </w:r>
    </w:p>
  </w:footnote>
  <w:footnote w:type="continuationSeparator" w:id="0">
    <w:p w:rsidR="00821644" w:rsidRDefault="00821644" w:rsidP="00E10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F"/>
    <w:rsid w:val="00821644"/>
    <w:rsid w:val="00837C3F"/>
    <w:rsid w:val="00BF360D"/>
    <w:rsid w:val="00C35CF6"/>
    <w:rsid w:val="00E1050C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C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7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37C3F"/>
    <w:rPr>
      <w:b/>
      <w:bCs/>
    </w:rPr>
  </w:style>
  <w:style w:type="paragraph" w:styleId="a6">
    <w:name w:val="header"/>
    <w:basedOn w:val="a"/>
    <w:link w:val="Char"/>
    <w:uiPriority w:val="99"/>
    <w:unhideWhenUsed/>
    <w:rsid w:val="00E1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1050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1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105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C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7C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37C3F"/>
    <w:rPr>
      <w:b/>
      <w:bCs/>
    </w:rPr>
  </w:style>
  <w:style w:type="paragraph" w:styleId="a6">
    <w:name w:val="header"/>
    <w:basedOn w:val="a"/>
    <w:link w:val="Char"/>
    <w:uiPriority w:val="99"/>
    <w:unhideWhenUsed/>
    <w:rsid w:val="00E10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1050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10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105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027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170">
              <w:marLeft w:val="75"/>
              <w:marRight w:val="75"/>
              <w:marTop w:val="75"/>
              <w:marBottom w:val="75"/>
              <w:divBdr>
                <w:top w:val="single" w:sz="6" w:space="2" w:color="auto"/>
                <w:left w:val="none" w:sz="0" w:space="2" w:color="auto"/>
                <w:bottom w:val="dotted" w:sz="6" w:space="2" w:color="F1F1F1"/>
                <w:right w:val="none" w:sz="0" w:space="2" w:color="auto"/>
              </w:divBdr>
            </w:div>
          </w:divsChild>
        </w:div>
        <w:div w:id="2061439817">
          <w:marLeft w:val="75"/>
          <w:marRight w:val="75"/>
          <w:marTop w:val="75"/>
          <w:marBottom w:val="75"/>
          <w:divBdr>
            <w:top w:val="single" w:sz="48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2020-10-27T03:05:00Z</dcterms:created>
  <dcterms:modified xsi:type="dcterms:W3CDTF">2020-10-27T03:10:00Z</dcterms:modified>
</cp:coreProperties>
</file>